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5DF" w:rsidRDefault="002775DF" w:rsidP="000F60F5">
      <w:pPr>
        <w:jc w:val="center"/>
        <w:rPr>
          <w:b/>
          <w:sz w:val="36"/>
          <w:szCs w:val="36"/>
        </w:rPr>
      </w:pPr>
    </w:p>
    <w:p w:rsidR="000F60F5" w:rsidRPr="002C386E" w:rsidRDefault="00753254" w:rsidP="000F60F5">
      <w:pPr>
        <w:jc w:val="center"/>
        <w:rPr>
          <w:b/>
          <w:sz w:val="36"/>
          <w:szCs w:val="36"/>
          <w:lang w:val="en-GB"/>
        </w:rPr>
      </w:pPr>
      <w:r w:rsidRPr="002C386E">
        <w:rPr>
          <w:b/>
          <w:sz w:val="36"/>
          <w:szCs w:val="36"/>
          <w:lang w:val="en-GB"/>
        </w:rPr>
        <w:t>1.1 STAKEHOLDER ANALYSIS</w:t>
      </w:r>
    </w:p>
    <w:p w:rsidR="005A77EA" w:rsidRPr="002C386E" w:rsidRDefault="005A77EA" w:rsidP="005A77EA">
      <w:pPr>
        <w:ind w:left="187" w:hanging="187"/>
        <w:rPr>
          <w:i/>
          <w:lang w:val="en-GB"/>
        </w:rPr>
      </w:pPr>
    </w:p>
    <w:p w:rsidR="00CC417C" w:rsidRPr="002C386E" w:rsidRDefault="00753254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 xml:space="preserve">This initial analysis focuses on relationship </w:t>
      </w:r>
      <w:r w:rsidR="00B92911" w:rsidRPr="002C386E">
        <w:rPr>
          <w:rFonts w:ascii="Times New Roman" w:hAnsi="Times New Roman"/>
          <w:sz w:val="24"/>
          <w:szCs w:val="24"/>
          <w:lang w:val="en-GB"/>
        </w:rPr>
        <w:t xml:space="preserve">between </w:t>
      </w:r>
      <w:r w:rsidRPr="002C386E">
        <w:rPr>
          <w:rFonts w:ascii="Times New Roman" w:hAnsi="Times New Roman"/>
          <w:sz w:val="24"/>
          <w:szCs w:val="24"/>
          <w:lang w:val="en-GB"/>
        </w:rPr>
        <w:t>enterprise st</w:t>
      </w:r>
      <w:r w:rsidR="00F74A59" w:rsidRPr="002C386E">
        <w:rPr>
          <w:rFonts w:ascii="Times New Roman" w:hAnsi="Times New Roman"/>
          <w:sz w:val="24"/>
          <w:szCs w:val="24"/>
          <w:lang w:val="en-GB"/>
        </w:rPr>
        <w:t>r</w:t>
      </w:r>
      <w:r w:rsidRPr="002C386E">
        <w:rPr>
          <w:rFonts w:ascii="Times New Roman" w:hAnsi="Times New Roman"/>
          <w:sz w:val="24"/>
          <w:szCs w:val="24"/>
          <w:lang w:val="en-GB"/>
        </w:rPr>
        <w:t>ategy and its links</w:t>
      </w:r>
      <w:r w:rsidR="000078FF"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with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particular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stakeholders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. This area is determining any business and its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success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. It 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 xml:space="preserve"> influences also resource ef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>f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>i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ciency within 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 xml:space="preserve">production 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>process and within the life cycle of product.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 xml:space="preserve"> Here can be hidden important strategic business risks and opportunities for improvement of enterprise performance.</w:t>
      </w:r>
    </w:p>
    <w:p w:rsidR="00753254" w:rsidRPr="002C386E" w:rsidRDefault="00CC417C" w:rsidP="00A727C6">
      <w:pPr>
        <w:pStyle w:val="MainText"/>
        <w:rPr>
          <w:rFonts w:ascii="Times New Roman" w:hAnsi="Times New Roman"/>
          <w:b/>
          <w:sz w:val="24"/>
          <w:szCs w:val="24"/>
          <w:lang w:val="en-GB"/>
        </w:rPr>
      </w:pPr>
      <w:r w:rsidRPr="002C386E">
        <w:rPr>
          <w:rFonts w:ascii="Times New Roman" w:hAnsi="Times New Roman"/>
          <w:b/>
          <w:sz w:val="24"/>
          <w:szCs w:val="24"/>
          <w:lang w:val="en-GB"/>
        </w:rPr>
        <w:t>Implement the following indicative analysis in order to collect information for identification of potential areas for improvement at this strategic level:</w:t>
      </w:r>
    </w:p>
    <w:p w:rsidR="00753254" w:rsidRPr="002C386E" w:rsidRDefault="00753254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a) Prepare list of major strate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>gic priorities of an enterprise and fill it into the table 1.1.</w:t>
      </w:r>
    </w:p>
    <w:p w:rsidR="00753254" w:rsidRPr="002C386E" w:rsidRDefault="00753254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b) Prepare list of enterprise specific stakeholders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 xml:space="preserve"> and fill it into the table 1.1</w:t>
      </w:r>
      <w:r w:rsidRPr="002C386E">
        <w:rPr>
          <w:rFonts w:ascii="Times New Roman" w:hAnsi="Times New Roman"/>
          <w:sz w:val="24"/>
          <w:szCs w:val="24"/>
          <w:lang w:val="en-GB"/>
        </w:rPr>
        <w:t>.</w:t>
      </w:r>
    </w:p>
    <w:p w:rsidR="00F74A59" w:rsidRPr="002C386E" w:rsidRDefault="00F74A59" w:rsidP="00F74A59">
      <w:pPr>
        <w:pStyle w:val="MainText"/>
        <w:spacing w:before="0"/>
        <w:rPr>
          <w:rFonts w:ascii="Times New Roman" w:hAnsi="Times New Roman"/>
          <w:sz w:val="24"/>
          <w:szCs w:val="24"/>
          <w:lang w:val="en-GB"/>
        </w:rPr>
      </w:pPr>
    </w:p>
    <w:p w:rsidR="00F74A59" w:rsidRPr="002C386E" w:rsidRDefault="00F74A59" w:rsidP="00F74A59">
      <w:pPr>
        <w:pStyle w:val="MainText"/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 xml:space="preserve">In order not to miss any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important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stakeholder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you can utilise the following checklist of the most frequent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influential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stakeholders: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Enterprise owners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Enterprise management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Enterprise staff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Customers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 (and their organisations)</w:t>
      </w:r>
    </w:p>
    <w:p w:rsidR="00E76813" w:rsidRPr="002C386E" w:rsidRDefault="00E76813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Partners (industry associations etc.)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Suppliers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Competitors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Governments (national, regional, local)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Local community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Not for profit organisations</w:t>
      </w:r>
    </w:p>
    <w:p w:rsidR="00F74A59" w:rsidRPr="002C386E" w:rsidRDefault="00F74A59" w:rsidP="00F74A59">
      <w:pPr>
        <w:pStyle w:val="MainText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Financial institutions</w:t>
      </w:r>
    </w:p>
    <w:p w:rsidR="000C563E" w:rsidRPr="002C386E" w:rsidRDefault="00753254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c) For each relationship stakeholder - strategic priority analyse how given stakeholder influence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s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enterprise effort in achiev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ing given st</w:t>
      </w:r>
      <w:r w:rsidRPr="002C386E">
        <w:rPr>
          <w:rFonts w:ascii="Times New Roman" w:hAnsi="Times New Roman"/>
          <w:sz w:val="24"/>
          <w:szCs w:val="24"/>
          <w:lang w:val="en-GB"/>
        </w:rPr>
        <w:t>r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a</w:t>
      </w:r>
      <w:r w:rsidRPr="002C386E">
        <w:rPr>
          <w:rFonts w:ascii="Times New Roman" w:hAnsi="Times New Roman"/>
          <w:sz w:val="24"/>
          <w:szCs w:val="24"/>
          <w:lang w:val="en-GB"/>
        </w:rPr>
        <w:t>tegic priorit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 xml:space="preserve">y. You can quantify this influence </w:t>
      </w:r>
      <w:r w:rsidR="005F02A0" w:rsidRPr="002C386E">
        <w:rPr>
          <w:rFonts w:ascii="Times New Roman" w:hAnsi="Times New Roman"/>
          <w:sz w:val="24"/>
          <w:szCs w:val="24"/>
          <w:lang w:val="en-GB"/>
        </w:rPr>
        <w:t>-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 xml:space="preserve"> on scale 1 - 3</w:t>
      </w:r>
      <w:r w:rsidR="00CC417C" w:rsidRPr="002C386E">
        <w:rPr>
          <w:rFonts w:ascii="Times New Roman" w:hAnsi="Times New Roman"/>
          <w:sz w:val="24"/>
          <w:szCs w:val="24"/>
          <w:lang w:val="en-GB"/>
        </w:rPr>
        <w:t xml:space="preserve"> and fill it into the table 1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.</w:t>
      </w:r>
      <w:r w:rsidR="005F02A0"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You are encouraged </w:t>
      </w:r>
      <w:r w:rsidR="005F02A0" w:rsidRPr="002C386E">
        <w:rPr>
          <w:rFonts w:ascii="Times New Roman" w:hAnsi="Times New Roman"/>
          <w:sz w:val="24"/>
          <w:szCs w:val="24"/>
          <w:lang w:val="en-GB"/>
        </w:rPr>
        <w:t xml:space="preserve">to choose another scale </w:t>
      </w:r>
      <w:r w:rsidR="00352D6F" w:rsidRPr="002C386E">
        <w:rPr>
          <w:rFonts w:ascii="Times New Roman" w:hAnsi="Times New Roman"/>
          <w:sz w:val="24"/>
          <w:szCs w:val="24"/>
          <w:lang w:val="en-GB"/>
        </w:rPr>
        <w:t xml:space="preserve">if 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>more appropriate for the given case</w:t>
      </w:r>
      <w:r w:rsidR="00352D6F" w:rsidRPr="002C386E">
        <w:rPr>
          <w:rFonts w:ascii="Times New Roman" w:hAnsi="Times New Roman"/>
          <w:sz w:val="24"/>
          <w:szCs w:val="24"/>
          <w:lang w:val="en-GB"/>
        </w:rPr>
        <w:t>.</w:t>
      </w:r>
    </w:p>
    <w:p w:rsidR="00CC417C" w:rsidRPr="002C386E" w:rsidRDefault="000C563E" w:rsidP="00A727C6">
      <w:pPr>
        <w:pStyle w:val="MainText"/>
        <w:rPr>
          <w:rFonts w:ascii="Times New Roman" w:hAnsi="Times New Roman"/>
          <w:b/>
          <w:sz w:val="24"/>
          <w:szCs w:val="24"/>
          <w:lang w:val="en-GB"/>
        </w:rPr>
      </w:pPr>
      <w:r w:rsidRPr="002C386E">
        <w:rPr>
          <w:rFonts w:ascii="Times New Roman" w:hAnsi="Times New Roman"/>
          <w:b/>
          <w:sz w:val="24"/>
          <w:szCs w:val="24"/>
          <w:lang w:val="en-GB"/>
        </w:rPr>
        <w:t>Output</w:t>
      </w:r>
      <w:r w:rsidR="00CC417C" w:rsidRPr="002C386E">
        <w:rPr>
          <w:rFonts w:ascii="Times New Roman" w:hAnsi="Times New Roman"/>
          <w:b/>
          <w:sz w:val="24"/>
          <w:szCs w:val="24"/>
          <w:lang w:val="en-GB"/>
        </w:rPr>
        <w:t>s</w:t>
      </w:r>
      <w:r w:rsidRPr="002C386E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</w:p>
    <w:p w:rsidR="00CC417C" w:rsidRPr="002C386E" w:rsidRDefault="00CC417C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 xml:space="preserve">a) </w:t>
      </w:r>
      <w:r w:rsidR="001A25DC" w:rsidRPr="002C386E">
        <w:rPr>
          <w:rFonts w:ascii="Times New Roman" w:hAnsi="Times New Roman"/>
          <w:sz w:val="24"/>
          <w:szCs w:val="24"/>
          <w:lang w:val="en-GB"/>
        </w:rPr>
        <w:t xml:space="preserve">You can see how score your stakeholders in relationship to the strategic priorities of your business (you can put a sum of your scores for each stakeholder into the last column in </w:t>
      </w:r>
      <w:r w:rsidR="002C386E" w:rsidRPr="002C386E">
        <w:rPr>
          <w:rFonts w:ascii="Times New Roman" w:hAnsi="Times New Roman"/>
          <w:sz w:val="24"/>
          <w:szCs w:val="24"/>
          <w:lang w:val="en-GB"/>
        </w:rPr>
        <w:t>order</w:t>
      </w:r>
      <w:r w:rsidR="001A25DC" w:rsidRPr="002C386E">
        <w:rPr>
          <w:rFonts w:ascii="Times New Roman" w:hAnsi="Times New Roman"/>
          <w:sz w:val="24"/>
          <w:szCs w:val="24"/>
          <w:lang w:val="en-GB"/>
        </w:rPr>
        <w:t xml:space="preserve"> to see overall indicative importance of each stakeholder).</w:t>
      </w:r>
    </w:p>
    <w:p w:rsidR="001A25DC" w:rsidRPr="002C386E" w:rsidRDefault="00CC417C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 xml:space="preserve">b) 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Where is ide</w:t>
      </w:r>
      <w:bookmarkStart w:id="0" w:name="_GoBack"/>
      <w:bookmarkEnd w:id="0"/>
      <w:r w:rsidR="000C563E" w:rsidRPr="002C386E">
        <w:rPr>
          <w:rFonts w:ascii="Times New Roman" w:hAnsi="Times New Roman"/>
          <w:sz w:val="24"/>
          <w:szCs w:val="24"/>
          <w:lang w:val="en-GB"/>
        </w:rPr>
        <w:t xml:space="preserve">ntified </w:t>
      </w:r>
      <w:r w:rsidR="001A25DC" w:rsidRPr="002C386E">
        <w:rPr>
          <w:rFonts w:ascii="Times New Roman" w:hAnsi="Times New Roman"/>
          <w:sz w:val="24"/>
          <w:szCs w:val="24"/>
          <w:lang w:val="en-GB"/>
        </w:rPr>
        <w:t xml:space="preserve">box with a 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high importance</w:t>
      </w:r>
      <w:r w:rsidR="00B92911"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 xml:space="preserve">which is not reflected in enterprise activities related to given  stakeholder, 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>such a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E76813" w:rsidRPr="002C386E">
        <w:rPr>
          <w:rFonts w:ascii="Times New Roman" w:hAnsi="Times New Roman"/>
          <w:sz w:val="24"/>
          <w:szCs w:val="24"/>
          <w:lang w:val="en-GB"/>
        </w:rPr>
        <w:t xml:space="preserve">box </w:t>
      </w:r>
      <w:r w:rsidR="000C563E" w:rsidRPr="002C386E">
        <w:rPr>
          <w:rFonts w:ascii="Times New Roman" w:hAnsi="Times New Roman"/>
          <w:sz w:val="24"/>
          <w:szCs w:val="24"/>
          <w:lang w:val="en-GB"/>
        </w:rPr>
        <w:t>indicates possible potential for improvements which could be further explored.</w:t>
      </w:r>
      <w:r w:rsidR="00675F0E" w:rsidRPr="002C386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C386E">
        <w:rPr>
          <w:rFonts w:ascii="Times New Roman" w:hAnsi="Times New Roman"/>
          <w:sz w:val="24"/>
          <w:szCs w:val="24"/>
          <w:lang w:val="en-GB"/>
        </w:rPr>
        <w:t xml:space="preserve">You can colour it for your record. </w:t>
      </w:r>
    </w:p>
    <w:p w:rsidR="000C563E" w:rsidRPr="002C386E" w:rsidRDefault="00CC417C" w:rsidP="00A727C6">
      <w:pPr>
        <w:pStyle w:val="MainText"/>
        <w:rPr>
          <w:rFonts w:ascii="Times New Roman" w:hAnsi="Times New Roman"/>
          <w:sz w:val="24"/>
          <w:szCs w:val="24"/>
          <w:lang w:val="en-GB"/>
        </w:rPr>
      </w:pPr>
      <w:r w:rsidRPr="002C386E">
        <w:rPr>
          <w:rFonts w:ascii="Times New Roman" w:hAnsi="Times New Roman"/>
          <w:sz w:val="24"/>
          <w:szCs w:val="24"/>
          <w:lang w:val="en-GB"/>
        </w:rPr>
        <w:t>Utilise this information in working with form 1.4.</w:t>
      </w:r>
    </w:p>
    <w:p w:rsidR="00CC417C" w:rsidRPr="002C386E" w:rsidRDefault="00CC417C">
      <w:pPr>
        <w:rPr>
          <w:b/>
          <w:sz w:val="28"/>
          <w:szCs w:val="28"/>
          <w:lang w:val="en-GB"/>
        </w:rPr>
      </w:pPr>
      <w:r w:rsidRPr="002C386E">
        <w:rPr>
          <w:b/>
          <w:sz w:val="28"/>
          <w:szCs w:val="28"/>
          <w:lang w:val="en-GB"/>
        </w:rPr>
        <w:br w:type="page"/>
      </w:r>
    </w:p>
    <w:p w:rsidR="008812AD" w:rsidRPr="002C386E" w:rsidRDefault="008812AD" w:rsidP="006748D0">
      <w:pPr>
        <w:rPr>
          <w:b/>
          <w:sz w:val="28"/>
          <w:szCs w:val="28"/>
          <w:lang w:val="en-GB"/>
        </w:rPr>
      </w:pPr>
    </w:p>
    <w:p w:rsidR="00D54361" w:rsidRPr="002C386E" w:rsidRDefault="00CC417C" w:rsidP="006748D0">
      <w:pPr>
        <w:rPr>
          <w:b/>
          <w:szCs w:val="28"/>
          <w:lang w:val="en-GB"/>
        </w:rPr>
      </w:pPr>
      <w:r w:rsidRPr="002C386E">
        <w:rPr>
          <w:b/>
          <w:szCs w:val="28"/>
          <w:lang w:val="en-GB"/>
        </w:rPr>
        <w:t xml:space="preserve">Table 1.1 </w:t>
      </w:r>
      <w:r w:rsidR="008812AD" w:rsidRPr="002C386E">
        <w:rPr>
          <w:b/>
          <w:szCs w:val="28"/>
          <w:lang w:val="en-GB"/>
        </w:rPr>
        <w:t xml:space="preserve">Enterprise </w:t>
      </w:r>
      <w:r w:rsidR="002C386E" w:rsidRPr="002C386E">
        <w:rPr>
          <w:b/>
          <w:szCs w:val="28"/>
          <w:lang w:val="en-GB"/>
        </w:rPr>
        <w:t>strategic</w:t>
      </w:r>
      <w:r w:rsidR="008812AD" w:rsidRPr="002C386E">
        <w:rPr>
          <w:b/>
          <w:szCs w:val="28"/>
          <w:lang w:val="en-GB"/>
        </w:rPr>
        <w:t xml:space="preserve"> priorities in </w:t>
      </w:r>
      <w:r w:rsidR="002C386E" w:rsidRPr="002C386E">
        <w:rPr>
          <w:b/>
          <w:szCs w:val="28"/>
          <w:lang w:val="en-GB"/>
        </w:rPr>
        <w:t>relationship</w:t>
      </w:r>
      <w:r w:rsidR="008812AD" w:rsidRPr="002C386E">
        <w:rPr>
          <w:b/>
          <w:szCs w:val="28"/>
          <w:lang w:val="en-GB"/>
        </w:rPr>
        <w:t xml:space="preserve"> with enterprise stakeholders</w:t>
      </w:r>
    </w:p>
    <w:p w:rsidR="00D54361" w:rsidRPr="002C386E" w:rsidRDefault="00D54361" w:rsidP="006748D0">
      <w:pPr>
        <w:rPr>
          <w:lang w:val="en-GB"/>
        </w:rPr>
      </w:pPr>
    </w:p>
    <w:tbl>
      <w:tblPr>
        <w:tblStyle w:val="TableGrid"/>
        <w:tblW w:w="0" w:type="auto"/>
        <w:tblInd w:w="108" w:type="dxa"/>
        <w:tblLayout w:type="fixed"/>
        <w:tblLook w:val="01E0"/>
      </w:tblPr>
      <w:tblGrid>
        <w:gridCol w:w="2127"/>
        <w:gridCol w:w="1134"/>
        <w:gridCol w:w="1134"/>
        <w:gridCol w:w="1134"/>
        <w:gridCol w:w="1275"/>
        <w:gridCol w:w="1276"/>
        <w:gridCol w:w="1100"/>
      </w:tblGrid>
      <w:tr w:rsidR="004F59D4" w:rsidRPr="002C386E" w:rsidTr="002C386E">
        <w:tc>
          <w:tcPr>
            <w:tcW w:w="2127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/>
          </w:tcPr>
          <w:p w:rsidR="004F59D4" w:rsidRPr="002C386E" w:rsidRDefault="008812AD" w:rsidP="004F59D4">
            <w:pPr>
              <w:jc w:val="right"/>
              <w:rPr>
                <w:b/>
                <w:sz w:val="16"/>
                <w:szCs w:val="8"/>
                <w:lang w:val="en-GB"/>
              </w:rPr>
            </w:pPr>
            <w:r w:rsidRPr="002C386E">
              <w:rPr>
                <w:b/>
                <w:sz w:val="16"/>
                <w:szCs w:val="8"/>
                <w:lang w:val="en-GB"/>
              </w:rPr>
              <w:t>STRATEGIC PRIORITIES</w:t>
            </w:r>
          </w:p>
          <w:p w:rsidR="008812AD" w:rsidRPr="002C386E" w:rsidRDefault="008812AD" w:rsidP="004F59D4">
            <w:pPr>
              <w:jc w:val="right"/>
              <w:rPr>
                <w:b/>
                <w:sz w:val="16"/>
                <w:szCs w:val="8"/>
                <w:lang w:val="en-GB"/>
              </w:rPr>
            </w:pPr>
          </w:p>
          <w:p w:rsidR="004F59D4" w:rsidRPr="002C386E" w:rsidRDefault="008812AD" w:rsidP="008812AD">
            <w:pPr>
              <w:rPr>
                <w:b/>
                <w:sz w:val="8"/>
                <w:szCs w:val="8"/>
                <w:lang w:val="en-GB"/>
              </w:rPr>
            </w:pPr>
            <w:r w:rsidRPr="002C386E">
              <w:rPr>
                <w:b/>
                <w:sz w:val="16"/>
                <w:szCs w:val="8"/>
                <w:lang w:val="en-GB"/>
              </w:rPr>
              <w:t>STAKEHOLDERS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F59D4" w:rsidRPr="002C386E" w:rsidRDefault="004F59D4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F59D4" w:rsidRPr="002C386E" w:rsidRDefault="004F59D4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F59D4" w:rsidRPr="002C386E" w:rsidRDefault="004F59D4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:rsidR="004F59D4" w:rsidRPr="002C386E" w:rsidRDefault="004F59D4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4F59D4" w:rsidRPr="002C386E" w:rsidRDefault="004F59D4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</w:p>
        </w:tc>
        <w:tc>
          <w:tcPr>
            <w:tcW w:w="1100" w:type="dxa"/>
            <w:shd w:val="clear" w:color="auto" w:fill="D9D9D9"/>
            <w:vAlign w:val="center"/>
          </w:tcPr>
          <w:p w:rsidR="004F59D4" w:rsidRPr="002C386E" w:rsidRDefault="002C386E" w:rsidP="004F59D4">
            <w:pPr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>(sum)</w:t>
            </w:r>
          </w:p>
        </w:tc>
      </w:tr>
      <w:tr w:rsidR="00D54361" w:rsidRPr="002C386E" w:rsidTr="002C386E">
        <w:tc>
          <w:tcPr>
            <w:tcW w:w="2127" w:type="dxa"/>
            <w:shd w:val="clear" w:color="auto" w:fill="F3F3F3"/>
          </w:tcPr>
          <w:p w:rsidR="00D54361" w:rsidRDefault="00D54361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D54361" w:rsidRPr="002C386E" w:rsidRDefault="00D54361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2C386E" w:rsidRPr="002C386E" w:rsidTr="002C386E">
        <w:tc>
          <w:tcPr>
            <w:tcW w:w="2127" w:type="dxa"/>
            <w:shd w:val="clear" w:color="auto" w:fill="F3F3F3"/>
          </w:tcPr>
          <w:p w:rsidR="002C386E" w:rsidRDefault="002C386E" w:rsidP="001A618D">
            <w:pPr>
              <w:rPr>
                <w:lang w:val="en-GB"/>
              </w:rPr>
            </w:pPr>
          </w:p>
          <w:p w:rsidR="002C386E" w:rsidRDefault="002C386E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Pr="002C386E" w:rsidRDefault="00074042" w:rsidP="001A618D">
            <w:pPr>
              <w:rPr>
                <w:lang w:val="en-GB"/>
              </w:rPr>
            </w:pPr>
          </w:p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Pr="002C386E" w:rsidRDefault="00074042" w:rsidP="001A618D">
            <w:pPr>
              <w:rPr>
                <w:lang w:val="en-GB"/>
              </w:rPr>
            </w:pPr>
          </w:p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Pr="002C386E" w:rsidRDefault="00074042" w:rsidP="001A618D">
            <w:pPr>
              <w:rPr>
                <w:lang w:val="en-GB"/>
              </w:rPr>
            </w:pPr>
          </w:p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Pr="002C386E" w:rsidRDefault="00074042" w:rsidP="001A618D">
            <w:pPr>
              <w:rPr>
                <w:lang w:val="en-GB"/>
              </w:rPr>
            </w:pPr>
          </w:p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Pr="002C386E" w:rsidRDefault="00074042" w:rsidP="001A618D">
            <w:pPr>
              <w:rPr>
                <w:lang w:val="en-GB"/>
              </w:rPr>
            </w:pPr>
          </w:p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2C386E" w:rsidRPr="002C386E" w:rsidTr="002C386E">
        <w:tc>
          <w:tcPr>
            <w:tcW w:w="2127" w:type="dxa"/>
            <w:shd w:val="clear" w:color="auto" w:fill="F3F3F3"/>
          </w:tcPr>
          <w:p w:rsidR="002C386E" w:rsidRDefault="002C386E" w:rsidP="001A618D">
            <w:pPr>
              <w:rPr>
                <w:lang w:val="en-GB"/>
              </w:rPr>
            </w:pPr>
          </w:p>
          <w:p w:rsidR="002C386E" w:rsidRDefault="002C386E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2C386E" w:rsidRPr="002C386E" w:rsidRDefault="002C386E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  <w:tr w:rsidR="00074042" w:rsidRPr="002C386E" w:rsidTr="002C386E">
        <w:tc>
          <w:tcPr>
            <w:tcW w:w="2127" w:type="dxa"/>
            <w:shd w:val="clear" w:color="auto" w:fill="F3F3F3"/>
          </w:tcPr>
          <w:p w:rsidR="00074042" w:rsidRDefault="00074042" w:rsidP="001A618D">
            <w:pPr>
              <w:rPr>
                <w:lang w:val="en-GB"/>
              </w:rPr>
            </w:pPr>
          </w:p>
          <w:p w:rsidR="002C386E" w:rsidRPr="002C386E" w:rsidRDefault="002C386E" w:rsidP="001A618D">
            <w:pPr>
              <w:rPr>
                <w:lang w:val="en-GB"/>
              </w:rPr>
            </w:pPr>
          </w:p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5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  <w:tc>
          <w:tcPr>
            <w:tcW w:w="1100" w:type="dxa"/>
          </w:tcPr>
          <w:p w:rsidR="00074042" w:rsidRPr="002C386E" w:rsidRDefault="00074042" w:rsidP="001A618D">
            <w:pPr>
              <w:rPr>
                <w:lang w:val="en-GB"/>
              </w:rPr>
            </w:pPr>
          </w:p>
        </w:tc>
      </w:tr>
    </w:tbl>
    <w:p w:rsidR="00074042" w:rsidRPr="002C386E" w:rsidRDefault="00074042" w:rsidP="007D6E6E">
      <w:pPr>
        <w:jc w:val="both"/>
        <w:rPr>
          <w:b/>
          <w:lang w:val="en-GB"/>
        </w:rPr>
      </w:pPr>
    </w:p>
    <w:p w:rsidR="00CC417C" w:rsidRPr="002C386E" w:rsidRDefault="00CC417C">
      <w:pPr>
        <w:rPr>
          <w:b/>
          <w:lang w:val="en-GB"/>
        </w:rPr>
      </w:pPr>
    </w:p>
    <w:sectPr w:rsidR="00CC417C" w:rsidRPr="002C386E" w:rsidSect="00765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77" w:rsidRDefault="00052077">
      <w:r>
        <w:separator/>
      </w:r>
    </w:p>
  </w:endnote>
  <w:endnote w:type="continuationSeparator" w:id="0">
    <w:p w:rsidR="00052077" w:rsidRDefault="00052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Omega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Default="002C38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Default="002C386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Default="002C38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77" w:rsidRDefault="00052077">
      <w:r>
        <w:separator/>
      </w:r>
    </w:p>
  </w:footnote>
  <w:footnote w:type="continuationSeparator" w:id="0">
    <w:p w:rsidR="00052077" w:rsidRDefault="00052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Default="002C38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Pr="007F61D8" w:rsidRDefault="002C386E" w:rsidP="002C386E">
    <w:pPr>
      <w:pStyle w:val="Header"/>
      <w:jc w:val="right"/>
      <w:rPr>
        <w:i/>
        <w:sz w:val="22"/>
      </w:rPr>
    </w:pPr>
    <w:r w:rsidRPr="007F61D8">
      <w:rPr>
        <w:i/>
        <w:sz w:val="22"/>
      </w:rPr>
      <w:t xml:space="preserve">PRESOURCE; EDIT TOOL; </w:t>
    </w:r>
    <w:r>
      <w:rPr>
        <w:i/>
        <w:sz w:val="22"/>
      </w:rPr>
      <w:t>P</w:t>
    </w:r>
    <w:r w:rsidRPr="007F61D8">
      <w:rPr>
        <w:i/>
        <w:sz w:val="22"/>
      </w:rPr>
      <w:t>ilot training in Graz, 4th November 2013</w:t>
    </w:r>
  </w:p>
  <w:p w:rsidR="002775DF" w:rsidRDefault="002775D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6E" w:rsidRDefault="002C38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66D6"/>
    <w:multiLevelType w:val="hybridMultilevel"/>
    <w:tmpl w:val="1A569CA2"/>
    <w:lvl w:ilvl="0" w:tplc="E22AF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66287"/>
    <w:multiLevelType w:val="hybridMultilevel"/>
    <w:tmpl w:val="76D8CE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B092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FA6C74"/>
    <w:multiLevelType w:val="hybridMultilevel"/>
    <w:tmpl w:val="E0105E80"/>
    <w:lvl w:ilvl="0" w:tplc="1EEEF2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9C6EAC"/>
    <w:multiLevelType w:val="hybridMultilevel"/>
    <w:tmpl w:val="C8D078EE"/>
    <w:lvl w:ilvl="0" w:tplc="874A97E4">
      <w:start w:val="1"/>
      <w:numFmt w:val="bullet"/>
      <w:lvlText w:val="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  <w:sz w:val="14"/>
        <w:szCs w:val="14"/>
      </w:rPr>
    </w:lvl>
    <w:lvl w:ilvl="1" w:tplc="D06A1C8C">
      <w:start w:val="1"/>
      <w:numFmt w:val="bullet"/>
      <w:pStyle w:val="BulletText"/>
      <w:lvlText w:val=""/>
      <w:lvlJc w:val="left"/>
      <w:pPr>
        <w:tabs>
          <w:tab w:val="num" w:pos="1749"/>
        </w:tabs>
        <w:ind w:left="1440" w:hanging="360"/>
      </w:pPr>
      <w:rPr>
        <w:rFonts w:ascii="Wingdings 2" w:hAnsi="Wingdings 2" w:hint="default"/>
        <w:color w:val="auto"/>
        <w:sz w:val="14"/>
        <w:szCs w:val="1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6782F83"/>
    <w:multiLevelType w:val="hybridMultilevel"/>
    <w:tmpl w:val="EC4E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B19"/>
    <w:rsid w:val="000078FF"/>
    <w:rsid w:val="0001666C"/>
    <w:rsid w:val="00026CC0"/>
    <w:rsid w:val="00027905"/>
    <w:rsid w:val="00035D70"/>
    <w:rsid w:val="00052077"/>
    <w:rsid w:val="00067042"/>
    <w:rsid w:val="00074042"/>
    <w:rsid w:val="0008601D"/>
    <w:rsid w:val="000A36FC"/>
    <w:rsid w:val="000B481B"/>
    <w:rsid w:val="000C563E"/>
    <w:rsid w:val="000F60F5"/>
    <w:rsid w:val="00153E28"/>
    <w:rsid w:val="00185FFC"/>
    <w:rsid w:val="001A25DC"/>
    <w:rsid w:val="001A618D"/>
    <w:rsid w:val="001D4B13"/>
    <w:rsid w:val="002775DF"/>
    <w:rsid w:val="0028707F"/>
    <w:rsid w:val="002A7B6C"/>
    <w:rsid w:val="002C386E"/>
    <w:rsid w:val="002E6B16"/>
    <w:rsid w:val="00320CB2"/>
    <w:rsid w:val="00352D6F"/>
    <w:rsid w:val="0036662E"/>
    <w:rsid w:val="00373238"/>
    <w:rsid w:val="00397034"/>
    <w:rsid w:val="003D2474"/>
    <w:rsid w:val="003E1174"/>
    <w:rsid w:val="00414E73"/>
    <w:rsid w:val="00462779"/>
    <w:rsid w:val="004649C4"/>
    <w:rsid w:val="0046667B"/>
    <w:rsid w:val="004B09F5"/>
    <w:rsid w:val="004C50A7"/>
    <w:rsid w:val="004D25A6"/>
    <w:rsid w:val="004F1149"/>
    <w:rsid w:val="004F5120"/>
    <w:rsid w:val="004F59D4"/>
    <w:rsid w:val="005073A1"/>
    <w:rsid w:val="00514CF9"/>
    <w:rsid w:val="005474CD"/>
    <w:rsid w:val="00565110"/>
    <w:rsid w:val="00573AC0"/>
    <w:rsid w:val="00577671"/>
    <w:rsid w:val="005A77EA"/>
    <w:rsid w:val="005A7DEF"/>
    <w:rsid w:val="005F02A0"/>
    <w:rsid w:val="00644241"/>
    <w:rsid w:val="006748D0"/>
    <w:rsid w:val="00675F0E"/>
    <w:rsid w:val="00692F8F"/>
    <w:rsid w:val="00697637"/>
    <w:rsid w:val="006B4707"/>
    <w:rsid w:val="006C08F2"/>
    <w:rsid w:val="007146D4"/>
    <w:rsid w:val="00753254"/>
    <w:rsid w:val="0076529B"/>
    <w:rsid w:val="00787FDA"/>
    <w:rsid w:val="007C314A"/>
    <w:rsid w:val="007D6E6E"/>
    <w:rsid w:val="00807372"/>
    <w:rsid w:val="00810E66"/>
    <w:rsid w:val="00815784"/>
    <w:rsid w:val="008553DE"/>
    <w:rsid w:val="008765D4"/>
    <w:rsid w:val="008812AD"/>
    <w:rsid w:val="008E6C25"/>
    <w:rsid w:val="008F0FC4"/>
    <w:rsid w:val="008F4A97"/>
    <w:rsid w:val="008F5373"/>
    <w:rsid w:val="00910B19"/>
    <w:rsid w:val="009511F1"/>
    <w:rsid w:val="00980773"/>
    <w:rsid w:val="009E228F"/>
    <w:rsid w:val="00A00424"/>
    <w:rsid w:val="00A32651"/>
    <w:rsid w:val="00A4096E"/>
    <w:rsid w:val="00A458EA"/>
    <w:rsid w:val="00A655AB"/>
    <w:rsid w:val="00A713E8"/>
    <w:rsid w:val="00A727C6"/>
    <w:rsid w:val="00A95BE4"/>
    <w:rsid w:val="00AB329D"/>
    <w:rsid w:val="00AC6495"/>
    <w:rsid w:val="00B56632"/>
    <w:rsid w:val="00B92911"/>
    <w:rsid w:val="00B94C5B"/>
    <w:rsid w:val="00BD4FDD"/>
    <w:rsid w:val="00BE1AF3"/>
    <w:rsid w:val="00C34DC4"/>
    <w:rsid w:val="00C81CD6"/>
    <w:rsid w:val="00C8552B"/>
    <w:rsid w:val="00C954D6"/>
    <w:rsid w:val="00CA1F75"/>
    <w:rsid w:val="00CB00A0"/>
    <w:rsid w:val="00CB4DB9"/>
    <w:rsid w:val="00CC417C"/>
    <w:rsid w:val="00D047E3"/>
    <w:rsid w:val="00D1038A"/>
    <w:rsid w:val="00D54361"/>
    <w:rsid w:val="00D63BAB"/>
    <w:rsid w:val="00D66758"/>
    <w:rsid w:val="00D95E72"/>
    <w:rsid w:val="00DF43DD"/>
    <w:rsid w:val="00E05A26"/>
    <w:rsid w:val="00E64ED5"/>
    <w:rsid w:val="00E702D7"/>
    <w:rsid w:val="00E76813"/>
    <w:rsid w:val="00EA354D"/>
    <w:rsid w:val="00ED13E1"/>
    <w:rsid w:val="00ED6A0E"/>
    <w:rsid w:val="00ED6BDB"/>
    <w:rsid w:val="00F31F60"/>
    <w:rsid w:val="00F3406B"/>
    <w:rsid w:val="00F420D5"/>
    <w:rsid w:val="00F73DA1"/>
    <w:rsid w:val="00F74A59"/>
    <w:rsid w:val="00F82A12"/>
    <w:rsid w:val="00F95AB1"/>
    <w:rsid w:val="00F96827"/>
    <w:rsid w:val="00F977F9"/>
    <w:rsid w:val="00FD1F34"/>
    <w:rsid w:val="00FE2121"/>
    <w:rsid w:val="00FE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C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4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D4B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D6A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6A0E"/>
    <w:pPr>
      <w:tabs>
        <w:tab w:val="center" w:pos="4536"/>
        <w:tab w:val="right" w:pos="9072"/>
      </w:tabs>
    </w:pPr>
  </w:style>
  <w:style w:type="paragraph" w:customStyle="1" w:styleId="MainText">
    <w:name w:val="Main Text"/>
    <w:basedOn w:val="Normal"/>
    <w:link w:val="MainTextChar1"/>
    <w:rsid w:val="00A727C6"/>
    <w:pPr>
      <w:spacing w:before="240"/>
      <w:jc w:val="both"/>
    </w:pPr>
    <w:rPr>
      <w:rFonts w:ascii="Arial" w:eastAsia="MS Mincho" w:hAnsi="Arial"/>
      <w:spacing w:val="10"/>
      <w:sz w:val="20"/>
      <w:szCs w:val="20"/>
      <w:lang w:eastAsia="en-US"/>
    </w:rPr>
  </w:style>
  <w:style w:type="paragraph" w:customStyle="1" w:styleId="BulletText">
    <w:name w:val="Bullet Text"/>
    <w:basedOn w:val="Normal"/>
    <w:autoRedefine/>
    <w:rsid w:val="00A727C6"/>
    <w:pPr>
      <w:numPr>
        <w:ilvl w:val="1"/>
        <w:numId w:val="4"/>
      </w:numPr>
      <w:tabs>
        <w:tab w:val="clear" w:pos="1749"/>
        <w:tab w:val="num" w:pos="540"/>
      </w:tabs>
      <w:spacing w:before="120"/>
      <w:ind w:left="539" w:hanging="539"/>
    </w:pPr>
    <w:rPr>
      <w:rFonts w:ascii="Arial" w:eastAsia="CG Omega" w:hAnsi="Arial"/>
      <w:spacing w:val="10"/>
      <w:sz w:val="20"/>
      <w:szCs w:val="20"/>
      <w:lang w:eastAsia="en-US"/>
    </w:rPr>
  </w:style>
  <w:style w:type="character" w:customStyle="1" w:styleId="MainTextChar1">
    <w:name w:val="Main Text Char1"/>
    <w:basedOn w:val="DefaultParagraphFont"/>
    <w:link w:val="MainText"/>
    <w:rsid w:val="00A727C6"/>
    <w:rPr>
      <w:rFonts w:ascii="Arial" w:eastAsia="MS Mincho" w:hAnsi="Arial"/>
      <w:spacing w:val="10"/>
      <w:lang w:val="cs-CZ" w:eastAsia="en-US" w:bidi="ar-SA"/>
    </w:rPr>
  </w:style>
  <w:style w:type="character" w:styleId="CommentReference">
    <w:name w:val="annotation reference"/>
    <w:basedOn w:val="DefaultParagraphFont"/>
    <w:rsid w:val="0000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7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78FF"/>
  </w:style>
  <w:style w:type="paragraph" w:styleId="CommentSubject">
    <w:name w:val="annotation subject"/>
    <w:basedOn w:val="CommentText"/>
    <w:next w:val="CommentText"/>
    <w:link w:val="CommentSubjectChar"/>
    <w:rsid w:val="0000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078FF"/>
    <w:rPr>
      <w:b/>
      <w:bCs/>
    </w:rPr>
  </w:style>
  <w:style w:type="paragraph" w:styleId="BalloonText">
    <w:name w:val="Balloon Text"/>
    <w:basedOn w:val="Normal"/>
    <w:link w:val="BalloonTextChar"/>
    <w:rsid w:val="00007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78F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775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81CD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74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1D4B13"/>
    <w:rPr>
      <w:color w:val="0000FF"/>
      <w:u w:val="single"/>
    </w:rPr>
  </w:style>
  <w:style w:type="paragraph" w:styleId="Intestazione">
    <w:name w:val="header"/>
    <w:basedOn w:val="Normale"/>
    <w:rsid w:val="00ED6A0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ED6A0E"/>
    <w:pPr>
      <w:tabs>
        <w:tab w:val="center" w:pos="4536"/>
        <w:tab w:val="right" w:pos="9072"/>
      </w:tabs>
    </w:pPr>
  </w:style>
  <w:style w:type="paragraph" w:customStyle="1" w:styleId="MainText">
    <w:name w:val="Main Text"/>
    <w:basedOn w:val="Normale"/>
    <w:link w:val="MainTextChar1"/>
    <w:rsid w:val="00A727C6"/>
    <w:pPr>
      <w:spacing w:before="240"/>
      <w:jc w:val="both"/>
    </w:pPr>
    <w:rPr>
      <w:rFonts w:ascii="Arial" w:eastAsia="MS Mincho" w:hAnsi="Arial"/>
      <w:spacing w:val="10"/>
      <w:sz w:val="20"/>
      <w:szCs w:val="20"/>
      <w:lang w:eastAsia="en-US"/>
    </w:rPr>
  </w:style>
  <w:style w:type="paragraph" w:customStyle="1" w:styleId="BulletText">
    <w:name w:val="Bullet Text"/>
    <w:basedOn w:val="Normale"/>
    <w:autoRedefine/>
    <w:rsid w:val="00A727C6"/>
    <w:pPr>
      <w:numPr>
        <w:ilvl w:val="1"/>
        <w:numId w:val="4"/>
      </w:numPr>
      <w:tabs>
        <w:tab w:val="clear" w:pos="1749"/>
        <w:tab w:val="num" w:pos="540"/>
      </w:tabs>
      <w:spacing w:before="120"/>
      <w:ind w:left="539" w:hanging="539"/>
    </w:pPr>
    <w:rPr>
      <w:rFonts w:ascii="Arial" w:eastAsia="CG Omega" w:hAnsi="Arial"/>
      <w:spacing w:val="10"/>
      <w:sz w:val="20"/>
      <w:szCs w:val="20"/>
      <w:lang w:eastAsia="en-US"/>
    </w:rPr>
  </w:style>
  <w:style w:type="character" w:customStyle="1" w:styleId="MainTextChar1">
    <w:name w:val="Main Text Char1"/>
    <w:basedOn w:val="Carpredefinitoparagrafo"/>
    <w:link w:val="MainText"/>
    <w:rsid w:val="00A727C6"/>
    <w:rPr>
      <w:rFonts w:ascii="Arial" w:eastAsia="MS Mincho" w:hAnsi="Arial"/>
      <w:spacing w:val="10"/>
      <w:lang w:val="cs-CZ" w:eastAsia="en-US" w:bidi="ar-SA"/>
    </w:rPr>
  </w:style>
  <w:style w:type="character" w:styleId="Rimandocommento">
    <w:name w:val="annotation reference"/>
    <w:basedOn w:val="Carpredefinitoparagrafo"/>
    <w:rsid w:val="000078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078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078FF"/>
  </w:style>
  <w:style w:type="paragraph" w:styleId="Soggettocommento">
    <w:name w:val="annotation subject"/>
    <w:basedOn w:val="Testocommento"/>
    <w:next w:val="Testocommento"/>
    <w:link w:val="SoggettocommentoCarattere"/>
    <w:rsid w:val="000078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078FF"/>
    <w:rPr>
      <w:b/>
      <w:bCs/>
    </w:rPr>
  </w:style>
  <w:style w:type="paragraph" w:styleId="Testofumetto">
    <w:name w:val="Balloon Text"/>
    <w:basedOn w:val="Normale"/>
    <w:link w:val="TestofumettoCarattere"/>
    <w:rsid w:val="000078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07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Zmapujte vaše zájmové skupiny a jejich zájmy</vt:lpstr>
      <vt:lpstr>Zmapujte vaše zájmové skupiny a jejich zájmy</vt:lpstr>
      <vt:lpstr>Zmapujte vaše zájmové skupiny a jejich zájmy</vt:lpstr>
    </vt:vector>
  </TitlesOfParts>
  <Company>ENVIROS s.r.o.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Zmapujte vaše zájmové skupiny a jejich zájmy</dc:title>
  <dc:creator>mbilkova</dc:creator>
  <cp:lastModifiedBy>Vladimír Dobeš</cp:lastModifiedBy>
  <cp:revision>5</cp:revision>
  <cp:lastPrinted>2007-08-29T13:16:00Z</cp:lastPrinted>
  <dcterms:created xsi:type="dcterms:W3CDTF">2013-10-31T21:09:00Z</dcterms:created>
  <dcterms:modified xsi:type="dcterms:W3CDTF">2013-11-01T05:45:00Z</dcterms:modified>
</cp:coreProperties>
</file>